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C779" w14:textId="77777777" w:rsidR="00E80485" w:rsidRPr="00E80485" w:rsidRDefault="00E80485">
      <w:pPr>
        <w:rPr>
          <w:b/>
          <w:sz w:val="24"/>
          <w:szCs w:val="24"/>
          <w:highlight w:val="white"/>
        </w:rPr>
      </w:pPr>
      <w:r w:rsidRPr="00E80485">
        <w:rPr>
          <w:b/>
          <w:sz w:val="24"/>
          <w:szCs w:val="24"/>
          <w:highlight w:val="white"/>
        </w:rPr>
        <w:t>Horndean Parish Council</w:t>
      </w:r>
    </w:p>
    <w:p w14:paraId="623450FC" w14:textId="77777777" w:rsidR="00E80485" w:rsidRPr="00E80485" w:rsidRDefault="00E80485">
      <w:pPr>
        <w:rPr>
          <w:b/>
          <w:sz w:val="24"/>
          <w:szCs w:val="24"/>
          <w:highlight w:val="white"/>
        </w:rPr>
      </w:pPr>
    </w:p>
    <w:p w14:paraId="0C13C032" w14:textId="77777777" w:rsidR="004F51FC" w:rsidRDefault="00E80485">
      <w:pPr>
        <w:rPr>
          <w:b/>
          <w:sz w:val="24"/>
          <w:szCs w:val="24"/>
          <w:highlight w:val="white"/>
        </w:rPr>
      </w:pPr>
      <w:r w:rsidRPr="00E80485">
        <w:rPr>
          <w:b/>
          <w:sz w:val="24"/>
          <w:szCs w:val="24"/>
          <w:highlight w:val="white"/>
        </w:rPr>
        <w:t>P</w:t>
      </w:r>
      <w:r w:rsidR="008D2BC6" w:rsidRPr="008D2BC6">
        <w:rPr>
          <w:b/>
          <w:sz w:val="24"/>
          <w:szCs w:val="24"/>
          <w:highlight w:val="white"/>
        </w:rPr>
        <w:t>olicy for</w:t>
      </w:r>
      <w:r w:rsidRPr="00E80485">
        <w:rPr>
          <w:b/>
          <w:sz w:val="24"/>
          <w:szCs w:val="24"/>
          <w:highlight w:val="white"/>
        </w:rPr>
        <w:t xml:space="preserve"> assessing </w:t>
      </w:r>
      <w:r>
        <w:rPr>
          <w:b/>
          <w:sz w:val="24"/>
          <w:szCs w:val="24"/>
          <w:highlight w:val="white"/>
        </w:rPr>
        <w:t xml:space="preserve">HPC’s </w:t>
      </w:r>
      <w:r w:rsidRPr="00E80485">
        <w:rPr>
          <w:b/>
          <w:sz w:val="24"/>
          <w:szCs w:val="24"/>
          <w:highlight w:val="white"/>
        </w:rPr>
        <w:t xml:space="preserve">capacity to accept </w:t>
      </w:r>
      <w:r w:rsidR="008D2BC6" w:rsidRPr="008D2BC6">
        <w:rPr>
          <w:b/>
          <w:sz w:val="24"/>
          <w:szCs w:val="24"/>
          <w:highlight w:val="white"/>
        </w:rPr>
        <w:t>asset</w:t>
      </w:r>
      <w:r>
        <w:rPr>
          <w:b/>
          <w:sz w:val="24"/>
          <w:szCs w:val="24"/>
          <w:highlight w:val="white"/>
        </w:rPr>
        <w:t xml:space="preserve"> transfers</w:t>
      </w:r>
      <w:r w:rsidR="008D2BC6" w:rsidRPr="008D2BC6">
        <w:rPr>
          <w:b/>
          <w:sz w:val="24"/>
          <w:szCs w:val="24"/>
          <w:highlight w:val="white"/>
        </w:rPr>
        <w:t xml:space="preserve"> </w:t>
      </w:r>
    </w:p>
    <w:p w14:paraId="6CC1002C" w14:textId="77777777" w:rsidR="00EF02F4" w:rsidRDefault="00EF02F4">
      <w:pPr>
        <w:rPr>
          <w:b/>
          <w:sz w:val="24"/>
          <w:szCs w:val="24"/>
          <w:highlight w:val="white"/>
        </w:rPr>
      </w:pPr>
    </w:p>
    <w:p w14:paraId="43309929" w14:textId="77777777" w:rsidR="004F51FC" w:rsidRPr="004F51FC" w:rsidRDefault="004F51FC">
      <w:pPr>
        <w:rPr>
          <w:b/>
          <w:sz w:val="24"/>
          <w:szCs w:val="24"/>
          <w:highlight w:val="white"/>
        </w:rPr>
      </w:pPr>
      <w:r w:rsidRPr="004F51FC">
        <w:rPr>
          <w:b/>
          <w:sz w:val="24"/>
          <w:szCs w:val="24"/>
          <w:highlight w:val="white"/>
        </w:rPr>
        <w:t>Introduction</w:t>
      </w:r>
    </w:p>
    <w:p w14:paraId="3A70996E" w14:textId="77777777" w:rsidR="004F51FC" w:rsidRDefault="004F51FC">
      <w:pPr>
        <w:rPr>
          <w:b/>
          <w:sz w:val="24"/>
          <w:szCs w:val="24"/>
          <w:highlight w:val="white"/>
        </w:rPr>
      </w:pPr>
    </w:p>
    <w:p w14:paraId="0CBADB25" w14:textId="77777777" w:rsidR="005638D4" w:rsidRDefault="008D2BC6">
      <w:pPr>
        <w:rPr>
          <w:bCs/>
          <w:sz w:val="24"/>
          <w:szCs w:val="24"/>
          <w:highlight w:val="white"/>
        </w:rPr>
      </w:pPr>
      <w:r w:rsidRPr="00DA4D5A">
        <w:rPr>
          <w:bCs/>
          <w:sz w:val="24"/>
          <w:szCs w:val="24"/>
          <w:highlight w:val="white"/>
        </w:rPr>
        <w:t xml:space="preserve">HPC has </w:t>
      </w:r>
      <w:r w:rsidR="005638D4">
        <w:rPr>
          <w:bCs/>
          <w:sz w:val="24"/>
          <w:szCs w:val="24"/>
          <w:highlight w:val="white"/>
        </w:rPr>
        <w:t>finite</w:t>
      </w:r>
      <w:r w:rsidRPr="00DA4D5A">
        <w:rPr>
          <w:bCs/>
          <w:sz w:val="24"/>
          <w:szCs w:val="24"/>
          <w:highlight w:val="white"/>
        </w:rPr>
        <w:t xml:space="preserve"> resources (currently </w:t>
      </w:r>
      <w:r w:rsidR="005638D4">
        <w:rPr>
          <w:bCs/>
          <w:sz w:val="24"/>
          <w:szCs w:val="24"/>
          <w:highlight w:val="white"/>
        </w:rPr>
        <w:t>eleven</w:t>
      </w:r>
      <w:r w:rsidRPr="00DA4D5A">
        <w:rPr>
          <w:bCs/>
          <w:sz w:val="24"/>
          <w:szCs w:val="24"/>
          <w:highlight w:val="white"/>
        </w:rPr>
        <w:t xml:space="preserve"> councillors) and</w:t>
      </w:r>
      <w:r w:rsidR="00DA4D5A">
        <w:rPr>
          <w:bCs/>
          <w:sz w:val="24"/>
          <w:szCs w:val="24"/>
          <w:highlight w:val="white"/>
        </w:rPr>
        <w:t xml:space="preserve"> limited </w:t>
      </w:r>
      <w:r w:rsidRPr="00DA4D5A">
        <w:rPr>
          <w:bCs/>
          <w:sz w:val="24"/>
          <w:szCs w:val="24"/>
          <w:highlight w:val="white"/>
        </w:rPr>
        <w:t xml:space="preserve">expertise (many councillors are new to the parish council) to </w:t>
      </w:r>
      <w:r w:rsidR="007E4B93">
        <w:rPr>
          <w:bCs/>
          <w:sz w:val="24"/>
          <w:szCs w:val="24"/>
          <w:highlight w:val="white"/>
        </w:rPr>
        <w:t>progress</w:t>
      </w:r>
      <w:r w:rsidR="005638D4">
        <w:rPr>
          <w:bCs/>
          <w:sz w:val="24"/>
          <w:szCs w:val="24"/>
          <w:highlight w:val="white"/>
        </w:rPr>
        <w:t xml:space="preserve"> </w:t>
      </w:r>
      <w:r w:rsidR="007E4B93">
        <w:rPr>
          <w:bCs/>
          <w:sz w:val="24"/>
          <w:szCs w:val="24"/>
          <w:highlight w:val="white"/>
        </w:rPr>
        <w:t xml:space="preserve">essential ongoing work and the </w:t>
      </w:r>
      <w:r w:rsidR="005638D4">
        <w:rPr>
          <w:bCs/>
          <w:sz w:val="24"/>
          <w:szCs w:val="24"/>
          <w:highlight w:val="white"/>
        </w:rPr>
        <w:t xml:space="preserve">initiatives which have been identified as being important to the residents of Horndean and </w:t>
      </w:r>
      <w:r w:rsidR="007E4B93">
        <w:rPr>
          <w:bCs/>
          <w:sz w:val="24"/>
          <w:szCs w:val="24"/>
          <w:highlight w:val="white"/>
        </w:rPr>
        <w:t xml:space="preserve">which are </w:t>
      </w:r>
      <w:r w:rsidR="005638D4">
        <w:rPr>
          <w:bCs/>
          <w:sz w:val="24"/>
          <w:szCs w:val="24"/>
          <w:highlight w:val="white"/>
        </w:rPr>
        <w:t xml:space="preserve">included in each annual Parish Plan.  </w:t>
      </w:r>
    </w:p>
    <w:p w14:paraId="7775C72C" w14:textId="77777777" w:rsidR="005638D4" w:rsidRDefault="005638D4">
      <w:pPr>
        <w:rPr>
          <w:bCs/>
          <w:sz w:val="24"/>
          <w:szCs w:val="24"/>
          <w:highlight w:val="white"/>
        </w:rPr>
      </w:pPr>
    </w:p>
    <w:p w14:paraId="7C66CDAE" w14:textId="77777777" w:rsidR="005638D4" w:rsidRDefault="005638D4">
      <w:pPr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  <w:highlight w:val="white"/>
        </w:rPr>
        <w:t xml:space="preserve">It is important that </w:t>
      </w:r>
      <w:r w:rsidR="007E4B93">
        <w:rPr>
          <w:bCs/>
          <w:sz w:val="24"/>
          <w:szCs w:val="24"/>
          <w:highlight w:val="white"/>
        </w:rPr>
        <w:t>additional</w:t>
      </w:r>
      <w:r>
        <w:rPr>
          <w:bCs/>
          <w:sz w:val="24"/>
          <w:szCs w:val="24"/>
          <w:highlight w:val="white"/>
        </w:rPr>
        <w:t xml:space="preserve"> initiatives, or assets, are</w:t>
      </w:r>
      <w:r w:rsidR="007E4B93">
        <w:rPr>
          <w:bCs/>
          <w:sz w:val="24"/>
          <w:szCs w:val="24"/>
          <w:highlight w:val="white"/>
        </w:rPr>
        <w:t xml:space="preserve"> only</w:t>
      </w:r>
      <w:r>
        <w:rPr>
          <w:bCs/>
          <w:sz w:val="24"/>
          <w:szCs w:val="24"/>
          <w:highlight w:val="white"/>
        </w:rPr>
        <w:t xml:space="preserve"> taken </w:t>
      </w:r>
      <w:r w:rsidR="00EF02F4">
        <w:rPr>
          <w:bCs/>
          <w:sz w:val="24"/>
          <w:szCs w:val="24"/>
          <w:highlight w:val="white"/>
        </w:rPr>
        <w:t xml:space="preserve">on </w:t>
      </w:r>
      <w:r w:rsidR="007E4B93">
        <w:rPr>
          <w:bCs/>
          <w:sz w:val="24"/>
          <w:szCs w:val="24"/>
          <w:highlight w:val="white"/>
        </w:rPr>
        <w:t>where they are considered unlikely to threaten existing ones</w:t>
      </w:r>
      <w:r>
        <w:rPr>
          <w:bCs/>
          <w:sz w:val="24"/>
          <w:szCs w:val="24"/>
          <w:highlight w:val="white"/>
        </w:rPr>
        <w:t xml:space="preserve">.  </w:t>
      </w:r>
      <w:r w:rsidR="007E4B93">
        <w:rPr>
          <w:bCs/>
          <w:sz w:val="24"/>
          <w:szCs w:val="24"/>
          <w:highlight w:val="white"/>
        </w:rPr>
        <w:t>Current ongoing work and</w:t>
      </w:r>
      <w:r>
        <w:rPr>
          <w:bCs/>
          <w:sz w:val="24"/>
          <w:szCs w:val="24"/>
          <w:highlight w:val="white"/>
        </w:rPr>
        <w:t xml:space="preserve"> initiatives include:</w:t>
      </w:r>
    </w:p>
    <w:p w14:paraId="0EED7F3B" w14:textId="77777777" w:rsidR="005638D4" w:rsidRDefault="005638D4">
      <w:pPr>
        <w:rPr>
          <w:bCs/>
          <w:sz w:val="24"/>
          <w:szCs w:val="24"/>
          <w:highlight w:val="white"/>
        </w:rPr>
      </w:pPr>
    </w:p>
    <w:p w14:paraId="4836A704" w14:textId="77777777" w:rsidR="005638D4" w:rsidRDefault="005638D4" w:rsidP="005638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Supporting and Championing Improvements.</w:t>
      </w:r>
    </w:p>
    <w:p w14:paraId="73B22136" w14:textId="77777777" w:rsidR="005638D4" w:rsidRDefault="005638D4" w:rsidP="005638D4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HNIP</w:t>
      </w:r>
    </w:p>
    <w:p w14:paraId="13B10FE1" w14:textId="77777777" w:rsidR="005638D4" w:rsidRDefault="005638D4" w:rsidP="005638D4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Discover Horndean (HGT&amp;HN)</w:t>
      </w:r>
    </w:p>
    <w:p w14:paraId="0ABAD693" w14:textId="77777777" w:rsidR="005638D4" w:rsidRDefault="005638D4" w:rsidP="005638D4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Joined up Southern Parishes working</w:t>
      </w:r>
    </w:p>
    <w:p w14:paraId="3CC682D8" w14:textId="77777777" w:rsidR="005638D4" w:rsidRDefault="005638D4" w:rsidP="005638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Representing </w:t>
      </w:r>
      <w:proofErr w:type="spellStart"/>
      <w:r>
        <w:rPr>
          <w:sz w:val="24"/>
          <w:szCs w:val="24"/>
        </w:rPr>
        <w:t>Horndean’s</w:t>
      </w:r>
      <w:proofErr w:type="spellEnd"/>
      <w:r>
        <w:rPr>
          <w:sz w:val="24"/>
          <w:szCs w:val="24"/>
        </w:rPr>
        <w:t xml:space="preserve"> interest in external projects</w:t>
      </w:r>
      <w:r w:rsidR="00EF02F4">
        <w:rPr>
          <w:sz w:val="24"/>
          <w:szCs w:val="24"/>
        </w:rPr>
        <w:t>.</w:t>
      </w:r>
    </w:p>
    <w:p w14:paraId="26967036" w14:textId="77777777" w:rsidR="005638D4" w:rsidRDefault="005638D4" w:rsidP="005638D4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Havant Thicket Reservoir</w:t>
      </w:r>
    </w:p>
    <w:p w14:paraId="745B95FD" w14:textId="77777777" w:rsidR="005638D4" w:rsidRDefault="005638D4" w:rsidP="005638D4">
      <w:pPr>
        <w:numPr>
          <w:ilvl w:val="1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Aquind</w:t>
      </w:r>
      <w:proofErr w:type="spellEnd"/>
    </w:p>
    <w:p w14:paraId="78960AF6" w14:textId="77777777" w:rsidR="005638D4" w:rsidRDefault="005638D4" w:rsidP="005638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Giving small grants to eligible organisations supporting our aims</w:t>
      </w:r>
    </w:p>
    <w:p w14:paraId="2F2F698B" w14:textId="77777777" w:rsidR="005638D4" w:rsidRDefault="00CB662D" w:rsidP="005638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Being an effective P</w:t>
      </w:r>
      <w:r w:rsidR="005638D4">
        <w:rPr>
          <w:sz w:val="24"/>
          <w:szCs w:val="24"/>
        </w:rPr>
        <w:t>lanning consultee</w:t>
      </w:r>
    </w:p>
    <w:p w14:paraId="48F0BBCF" w14:textId="77777777" w:rsidR="00CB662D" w:rsidRDefault="00CB662D" w:rsidP="005638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Maintaining existing assets in our care</w:t>
      </w:r>
    </w:p>
    <w:p w14:paraId="5661C485" w14:textId="77777777" w:rsidR="005638D4" w:rsidRDefault="00CB662D" w:rsidP="005638D4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Engaging</w:t>
      </w:r>
      <w:r w:rsidR="005638D4">
        <w:rPr>
          <w:sz w:val="24"/>
          <w:szCs w:val="24"/>
        </w:rPr>
        <w:t xml:space="preserve"> with prospective developers</w:t>
      </w:r>
    </w:p>
    <w:p w14:paraId="7FBD17BA" w14:textId="77777777" w:rsidR="005638D4" w:rsidRDefault="005638D4" w:rsidP="005638D4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Seeking to minimise negative impacts</w:t>
      </w:r>
    </w:p>
    <w:p w14:paraId="14442C9D" w14:textId="77777777" w:rsidR="005638D4" w:rsidRDefault="005638D4" w:rsidP="005638D4">
      <w:pPr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Seeking positive outcomes</w:t>
      </w:r>
    </w:p>
    <w:p w14:paraId="16704832" w14:textId="77777777" w:rsidR="005638D4" w:rsidRDefault="005638D4">
      <w:pPr>
        <w:rPr>
          <w:bCs/>
          <w:sz w:val="24"/>
          <w:szCs w:val="24"/>
          <w:highlight w:val="white"/>
        </w:rPr>
      </w:pPr>
    </w:p>
    <w:p w14:paraId="6C8E72BD" w14:textId="77777777" w:rsidR="00E80485" w:rsidRDefault="008D2BC6">
      <w:pPr>
        <w:rPr>
          <w:bCs/>
          <w:sz w:val="24"/>
          <w:szCs w:val="24"/>
          <w:highlight w:val="white"/>
        </w:rPr>
      </w:pPr>
      <w:r w:rsidRPr="00DA4D5A">
        <w:rPr>
          <w:bCs/>
          <w:sz w:val="24"/>
          <w:szCs w:val="24"/>
          <w:highlight w:val="white"/>
        </w:rPr>
        <w:t xml:space="preserve">Accordingly, HPC requires a policy to </w:t>
      </w:r>
      <w:r w:rsidR="004F51FC" w:rsidRPr="00DA4D5A">
        <w:rPr>
          <w:bCs/>
          <w:sz w:val="24"/>
          <w:szCs w:val="24"/>
          <w:highlight w:val="white"/>
        </w:rPr>
        <w:t>manage the</w:t>
      </w:r>
      <w:r w:rsidRPr="00DA4D5A">
        <w:rPr>
          <w:bCs/>
          <w:sz w:val="24"/>
          <w:szCs w:val="24"/>
          <w:highlight w:val="white"/>
        </w:rPr>
        <w:t xml:space="preserve"> variety of assets that may be offered</w:t>
      </w:r>
      <w:r w:rsidR="00EF02F4">
        <w:rPr>
          <w:bCs/>
          <w:sz w:val="24"/>
          <w:szCs w:val="24"/>
          <w:highlight w:val="white"/>
        </w:rPr>
        <w:t>, whether those would be devolved by District or County Council, offered by a developer (probably under a S106 agreement) or simply “gifted”</w:t>
      </w:r>
      <w:r w:rsidRPr="00DA4D5A">
        <w:rPr>
          <w:bCs/>
          <w:sz w:val="24"/>
          <w:szCs w:val="24"/>
          <w:highlight w:val="white"/>
        </w:rPr>
        <w:t>.</w:t>
      </w:r>
      <w:r w:rsidR="004F51FC" w:rsidRPr="00DA4D5A">
        <w:rPr>
          <w:bCs/>
          <w:sz w:val="24"/>
          <w:szCs w:val="24"/>
          <w:highlight w:val="white"/>
        </w:rPr>
        <w:t xml:space="preserve"> </w:t>
      </w:r>
    </w:p>
    <w:p w14:paraId="2FD4AEED" w14:textId="77777777" w:rsidR="00EF02F4" w:rsidRDefault="00EF02F4">
      <w:pPr>
        <w:rPr>
          <w:sz w:val="24"/>
          <w:szCs w:val="24"/>
          <w:highlight w:val="white"/>
        </w:rPr>
      </w:pPr>
    </w:p>
    <w:p w14:paraId="0D479417" w14:textId="77777777" w:rsidR="007E4B93" w:rsidRPr="004F51FC" w:rsidRDefault="007E4B93" w:rsidP="007E4B93">
      <w:pPr>
        <w:rPr>
          <w:b/>
          <w:sz w:val="24"/>
          <w:szCs w:val="24"/>
          <w:highlight w:val="white"/>
        </w:rPr>
      </w:pPr>
      <w:r w:rsidRPr="008D2BC6">
        <w:rPr>
          <w:b/>
          <w:sz w:val="24"/>
          <w:szCs w:val="24"/>
          <w:highlight w:val="white"/>
        </w:rPr>
        <w:t xml:space="preserve">Additional assets that will </w:t>
      </w:r>
      <w:r>
        <w:rPr>
          <w:b/>
          <w:sz w:val="24"/>
          <w:szCs w:val="24"/>
          <w:highlight w:val="white"/>
        </w:rPr>
        <w:t xml:space="preserve">normally be </w:t>
      </w:r>
      <w:r w:rsidRPr="008D2BC6">
        <w:rPr>
          <w:b/>
          <w:sz w:val="24"/>
          <w:szCs w:val="24"/>
          <w:highlight w:val="white"/>
        </w:rPr>
        <w:t>consider</w:t>
      </w:r>
      <w:r>
        <w:rPr>
          <w:b/>
          <w:sz w:val="24"/>
          <w:szCs w:val="24"/>
          <w:highlight w:val="white"/>
        </w:rPr>
        <w:t>ed</w:t>
      </w:r>
    </w:p>
    <w:p w14:paraId="0E08EF9B" w14:textId="77777777" w:rsidR="007E4B93" w:rsidRDefault="007E4B93" w:rsidP="007E4B93">
      <w:pPr>
        <w:rPr>
          <w:sz w:val="24"/>
          <w:szCs w:val="24"/>
          <w:highlight w:val="white"/>
        </w:rPr>
      </w:pPr>
    </w:p>
    <w:p w14:paraId="07DCB819" w14:textId="77777777" w:rsidR="007E4B93" w:rsidRDefault="007E4B93" w:rsidP="007E4B93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HPC will assess, and consider adopting, additional assets if there is felt to be benefit to a wider cross section of residents from across Horndean and where the operation of those assets falls within our current experience, expertise and capacity</w:t>
      </w:r>
    </w:p>
    <w:p w14:paraId="398F3FB2" w14:textId="77777777" w:rsidR="007E4B93" w:rsidRDefault="007E4B93" w:rsidP="007E4B93">
      <w:pPr>
        <w:rPr>
          <w:sz w:val="24"/>
          <w:szCs w:val="24"/>
          <w:highlight w:val="white"/>
        </w:rPr>
      </w:pPr>
    </w:p>
    <w:p w14:paraId="478B5460" w14:textId="77777777" w:rsidR="007E4B93" w:rsidRPr="004F51FC" w:rsidRDefault="007E4B93" w:rsidP="007E4B93">
      <w:pPr>
        <w:rPr>
          <w:b/>
          <w:sz w:val="24"/>
          <w:szCs w:val="24"/>
          <w:highlight w:val="white"/>
        </w:rPr>
      </w:pPr>
      <w:r w:rsidRPr="008D2BC6">
        <w:rPr>
          <w:b/>
          <w:sz w:val="24"/>
          <w:szCs w:val="24"/>
          <w:highlight w:val="white"/>
        </w:rPr>
        <w:t>Some relevant areas within our expertise/experience/capacity</w:t>
      </w:r>
    </w:p>
    <w:p w14:paraId="4730B001" w14:textId="77777777" w:rsidR="007E4B93" w:rsidRDefault="007E4B93" w:rsidP="007E4B93">
      <w:pPr>
        <w:rPr>
          <w:b/>
          <w:sz w:val="24"/>
          <w:szCs w:val="24"/>
          <w:highlight w:val="white"/>
          <w:u w:val="single"/>
        </w:rPr>
      </w:pPr>
    </w:p>
    <w:p w14:paraId="31DCFAFE" w14:textId="77777777" w:rsidR="007E4B93" w:rsidRDefault="007E4B93" w:rsidP="007E4B93">
      <w:pPr>
        <w:numPr>
          <w:ilvl w:val="0"/>
          <w:numId w:val="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Open Spaces and nature reserves</w:t>
      </w:r>
    </w:p>
    <w:p w14:paraId="0595B9F2" w14:textId="77777777" w:rsidR="007E4B93" w:rsidRDefault="007E4B93" w:rsidP="007E4B93">
      <w:pPr>
        <w:numPr>
          <w:ilvl w:val="0"/>
          <w:numId w:val="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Play Areas</w:t>
      </w:r>
    </w:p>
    <w:p w14:paraId="5C0B19F5" w14:textId="77777777" w:rsidR="007E4B93" w:rsidRDefault="007E4B93" w:rsidP="007E4B93">
      <w:pPr>
        <w:numPr>
          <w:ilvl w:val="0"/>
          <w:numId w:val="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Recreational space, including grass playing fields and exercise areas</w:t>
      </w:r>
    </w:p>
    <w:p w14:paraId="30EFA9D1" w14:textId="77777777" w:rsidR="007E4B93" w:rsidRDefault="007E4B93" w:rsidP="007E4B93">
      <w:pPr>
        <w:numPr>
          <w:ilvl w:val="0"/>
          <w:numId w:val="2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lastRenderedPageBreak/>
        <w:t>General use halls</w:t>
      </w:r>
    </w:p>
    <w:p w14:paraId="75527A49" w14:textId="77777777" w:rsidR="007E4B93" w:rsidRDefault="007E4B93" w:rsidP="007E4B93">
      <w:pPr>
        <w:rPr>
          <w:sz w:val="24"/>
          <w:szCs w:val="24"/>
          <w:highlight w:val="white"/>
        </w:rPr>
      </w:pPr>
    </w:p>
    <w:p w14:paraId="782A27AB" w14:textId="77777777" w:rsidR="003835BB" w:rsidRPr="004F51FC" w:rsidRDefault="008D2BC6">
      <w:pPr>
        <w:rPr>
          <w:sz w:val="24"/>
          <w:szCs w:val="24"/>
          <w:highlight w:val="white"/>
        </w:rPr>
      </w:pPr>
      <w:r w:rsidRPr="008D2BC6">
        <w:rPr>
          <w:b/>
          <w:sz w:val="24"/>
          <w:szCs w:val="24"/>
          <w:highlight w:val="white"/>
        </w:rPr>
        <w:t xml:space="preserve">Additional assets that will normally </w:t>
      </w:r>
      <w:r w:rsidR="007E4B93">
        <w:rPr>
          <w:b/>
          <w:sz w:val="24"/>
          <w:szCs w:val="24"/>
          <w:highlight w:val="white"/>
        </w:rPr>
        <w:t xml:space="preserve">be </w:t>
      </w:r>
      <w:r w:rsidRPr="008D2BC6">
        <w:rPr>
          <w:b/>
          <w:sz w:val="24"/>
          <w:szCs w:val="24"/>
          <w:highlight w:val="white"/>
        </w:rPr>
        <w:t>reject</w:t>
      </w:r>
      <w:r w:rsidR="007E4B93">
        <w:rPr>
          <w:b/>
          <w:sz w:val="24"/>
          <w:szCs w:val="24"/>
          <w:highlight w:val="white"/>
        </w:rPr>
        <w:t>ed</w:t>
      </w:r>
    </w:p>
    <w:p w14:paraId="0440D3B8" w14:textId="77777777" w:rsidR="003835BB" w:rsidRDefault="003835BB">
      <w:pPr>
        <w:rPr>
          <w:sz w:val="24"/>
          <w:szCs w:val="24"/>
          <w:highlight w:val="white"/>
        </w:rPr>
      </w:pPr>
    </w:p>
    <w:p w14:paraId="4606F26A" w14:textId="77777777" w:rsidR="003835BB" w:rsidRDefault="007E4B93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HPC will not normally consider taking on assets that may only benefit residents of a single development, unless a strong business case can be made.</w:t>
      </w:r>
    </w:p>
    <w:p w14:paraId="138EABAB" w14:textId="77777777" w:rsidR="003835BB" w:rsidRDefault="003835BB">
      <w:pPr>
        <w:rPr>
          <w:sz w:val="24"/>
          <w:szCs w:val="24"/>
          <w:highlight w:val="white"/>
        </w:rPr>
      </w:pPr>
    </w:p>
    <w:p w14:paraId="635C8CD2" w14:textId="77777777" w:rsidR="003835BB" w:rsidRDefault="007E4B93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 xml:space="preserve">HPC will not normally consider taking on assets that fall outside our experience, expertise and capacity unless an assessment of the impact on Councillors, Officers and </w:t>
      </w:r>
      <w:r w:rsidR="00EF02F4">
        <w:rPr>
          <w:sz w:val="24"/>
          <w:szCs w:val="24"/>
          <w:highlight w:val="white"/>
        </w:rPr>
        <w:t>the precept has</w:t>
      </w:r>
      <w:r>
        <w:rPr>
          <w:sz w:val="24"/>
          <w:szCs w:val="24"/>
          <w:highlight w:val="white"/>
        </w:rPr>
        <w:t xml:space="preserve"> been prepared and that impact is positive.</w:t>
      </w:r>
    </w:p>
    <w:p w14:paraId="70933BFD" w14:textId="77777777" w:rsidR="003E5737" w:rsidRDefault="003E5737">
      <w:pPr>
        <w:rPr>
          <w:sz w:val="24"/>
          <w:szCs w:val="24"/>
          <w:highlight w:val="white"/>
        </w:rPr>
      </w:pPr>
    </w:p>
    <w:p w14:paraId="5B7141BC" w14:textId="77777777" w:rsidR="003E5737" w:rsidRDefault="003E5737">
      <w:p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HPC will not normally consider taking on assets that require significant capital expenditure, unless this is offset by associated income.</w:t>
      </w:r>
    </w:p>
    <w:p w14:paraId="22F3A7A2" w14:textId="77777777" w:rsidR="003835BB" w:rsidRDefault="003835BB">
      <w:pPr>
        <w:rPr>
          <w:sz w:val="24"/>
          <w:szCs w:val="24"/>
          <w:highlight w:val="white"/>
        </w:rPr>
      </w:pPr>
    </w:p>
    <w:p w14:paraId="7872BFA0" w14:textId="77777777" w:rsidR="003835BB" w:rsidRPr="004F51FC" w:rsidRDefault="008D2BC6">
      <w:pPr>
        <w:rPr>
          <w:b/>
          <w:sz w:val="24"/>
          <w:szCs w:val="24"/>
          <w:highlight w:val="white"/>
        </w:rPr>
      </w:pPr>
      <w:r w:rsidRPr="008D2BC6">
        <w:rPr>
          <w:b/>
          <w:sz w:val="24"/>
          <w:szCs w:val="24"/>
          <w:highlight w:val="white"/>
        </w:rPr>
        <w:t>Some areas beyond our expertise/experience/capacity</w:t>
      </w:r>
    </w:p>
    <w:p w14:paraId="652E4BCB" w14:textId="77777777" w:rsidR="003835BB" w:rsidRDefault="003835BB">
      <w:pPr>
        <w:rPr>
          <w:sz w:val="24"/>
          <w:szCs w:val="24"/>
          <w:highlight w:val="white"/>
        </w:rPr>
      </w:pPr>
    </w:p>
    <w:p w14:paraId="3C1E8F86" w14:textId="77777777" w:rsidR="003835BB" w:rsidRDefault="007E4B93">
      <w:pPr>
        <w:numPr>
          <w:ilvl w:val="0"/>
          <w:numId w:val="1"/>
        </w:numPr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SuDS</w:t>
      </w:r>
      <w:proofErr w:type="spellEnd"/>
    </w:p>
    <w:p w14:paraId="7B74ED47" w14:textId="77777777" w:rsidR="003835BB" w:rsidRDefault="003E5737">
      <w:pPr>
        <w:numPr>
          <w:ilvl w:val="0"/>
          <w:numId w:val="1"/>
        </w:numPr>
        <w:rPr>
          <w:sz w:val="24"/>
          <w:szCs w:val="24"/>
          <w:highlight w:val="white"/>
        </w:rPr>
      </w:pPr>
      <w:r>
        <w:rPr>
          <w:sz w:val="24"/>
          <w:szCs w:val="24"/>
          <w:highlight w:val="white"/>
        </w:rPr>
        <w:t>S</w:t>
      </w:r>
      <w:r w:rsidR="007E4B93">
        <w:rPr>
          <w:sz w:val="24"/>
          <w:szCs w:val="24"/>
          <w:highlight w:val="white"/>
        </w:rPr>
        <w:t>ports facilities</w:t>
      </w:r>
      <w:r>
        <w:rPr>
          <w:sz w:val="24"/>
          <w:szCs w:val="24"/>
          <w:highlight w:val="white"/>
        </w:rPr>
        <w:t xml:space="preserve"> requiring significant management or maintenance</w:t>
      </w:r>
    </w:p>
    <w:p w14:paraId="4FBFC8AF" w14:textId="77777777" w:rsidR="003835BB" w:rsidRDefault="003835BB">
      <w:pPr>
        <w:rPr>
          <w:sz w:val="24"/>
          <w:szCs w:val="24"/>
          <w:highlight w:val="white"/>
        </w:rPr>
      </w:pPr>
    </w:p>
    <w:p w14:paraId="0B82C036" w14:textId="77777777" w:rsidR="003835BB" w:rsidRDefault="003835BB">
      <w:pPr>
        <w:rPr>
          <w:color w:val="0000FF"/>
          <w:sz w:val="24"/>
          <w:szCs w:val="24"/>
          <w:highlight w:val="white"/>
        </w:rPr>
      </w:pPr>
    </w:p>
    <w:sectPr w:rsidR="003835BB" w:rsidSect="008D2BC6"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1281" w14:textId="77777777" w:rsidR="00A85B4E" w:rsidRDefault="00A85B4E" w:rsidP="00A85B4E">
      <w:pPr>
        <w:spacing w:line="240" w:lineRule="auto"/>
      </w:pPr>
      <w:r>
        <w:separator/>
      </w:r>
    </w:p>
  </w:endnote>
  <w:endnote w:type="continuationSeparator" w:id="0">
    <w:p w14:paraId="1DFD4C1E" w14:textId="77777777" w:rsidR="00A85B4E" w:rsidRDefault="00A85B4E" w:rsidP="00A85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7036" w14:textId="4D405E15" w:rsidR="00A85B4E" w:rsidRDefault="00A85B4E">
    <w:pPr>
      <w:pStyle w:val="Footer"/>
    </w:pPr>
    <w:r>
      <w:t>Adopted FC: 07/10/2024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8D8E" w14:textId="77777777" w:rsidR="00A85B4E" w:rsidRDefault="00A85B4E" w:rsidP="00A85B4E">
      <w:pPr>
        <w:spacing w:line="240" w:lineRule="auto"/>
      </w:pPr>
      <w:r>
        <w:separator/>
      </w:r>
    </w:p>
  </w:footnote>
  <w:footnote w:type="continuationSeparator" w:id="0">
    <w:p w14:paraId="5D405986" w14:textId="77777777" w:rsidR="00A85B4E" w:rsidRDefault="00A85B4E" w:rsidP="00A85B4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88D"/>
    <w:multiLevelType w:val="multilevel"/>
    <w:tmpl w:val="555299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4A266A2"/>
    <w:multiLevelType w:val="multilevel"/>
    <w:tmpl w:val="364446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BB"/>
    <w:rsid w:val="00002A95"/>
    <w:rsid w:val="000E5AA2"/>
    <w:rsid w:val="00201C92"/>
    <w:rsid w:val="0029607C"/>
    <w:rsid w:val="003835BB"/>
    <w:rsid w:val="003E5737"/>
    <w:rsid w:val="004F51FC"/>
    <w:rsid w:val="005638D4"/>
    <w:rsid w:val="00635718"/>
    <w:rsid w:val="00714FF3"/>
    <w:rsid w:val="00734F62"/>
    <w:rsid w:val="007E4B93"/>
    <w:rsid w:val="008D2BC6"/>
    <w:rsid w:val="00A85B4E"/>
    <w:rsid w:val="00B068C6"/>
    <w:rsid w:val="00CB662D"/>
    <w:rsid w:val="00D72A3D"/>
    <w:rsid w:val="00DA4D5A"/>
    <w:rsid w:val="00DB1823"/>
    <w:rsid w:val="00E80485"/>
    <w:rsid w:val="00E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876E1A"/>
  <w15:docId w15:val="{6FE9A503-2CC7-40B6-95F2-823710119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C6"/>
  </w:style>
  <w:style w:type="paragraph" w:styleId="Heading1">
    <w:name w:val="heading 1"/>
    <w:basedOn w:val="Normal"/>
    <w:next w:val="Normal"/>
    <w:uiPriority w:val="9"/>
    <w:qFormat/>
    <w:rsid w:val="008D2BC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8D2BC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8D2BC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8D2BC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8D2BC6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8D2BC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8D2BC6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8D2BC6"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B068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68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68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8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8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068C6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2A9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A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B4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B4E"/>
  </w:style>
  <w:style w:type="paragraph" w:styleId="Footer">
    <w:name w:val="footer"/>
    <w:basedOn w:val="Normal"/>
    <w:link w:val="FooterChar"/>
    <w:uiPriority w:val="99"/>
    <w:unhideWhenUsed/>
    <w:rsid w:val="00A85B4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Carla Baverstock-Jones</cp:lastModifiedBy>
  <cp:revision>3</cp:revision>
  <dcterms:created xsi:type="dcterms:W3CDTF">2024-10-08T14:27:00Z</dcterms:created>
  <dcterms:modified xsi:type="dcterms:W3CDTF">2024-10-08T14:29:00Z</dcterms:modified>
</cp:coreProperties>
</file>